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adjustRightInd w:val="0"/>
        <w:rPr>
          <w:rFonts w:hint="default" w:ascii="ＭＳ 明朝" w:hAnsi="ＭＳ 明朝"/>
          <w:color w:val="000000"/>
          <w:kern w:val="0"/>
          <w:sz w:val="22"/>
        </w:rPr>
      </w:pPr>
      <w:r>
        <w:rPr>
          <w:rFonts w:hint="eastAsia" w:ascii="ＭＳ 明朝" w:hAnsi="ＭＳ 明朝"/>
          <w:color w:val="000000"/>
          <w:sz w:val="22"/>
        </w:rPr>
        <w:t>様式第５号</w:t>
      </w:r>
    </w:p>
    <w:p>
      <w:pPr>
        <w:pStyle w:val="0"/>
        <w:autoSpaceDE w:val="0"/>
        <w:autoSpaceDN w:val="0"/>
        <w:adjustRightInd w:val="0"/>
        <w:rPr>
          <w:rFonts w:hint="default" w:ascii="ＭＳ 明朝" w:hAnsi="ＭＳ 明朝"/>
          <w:color w:val="000000"/>
          <w:kern w:val="0"/>
          <w:sz w:val="22"/>
        </w:rPr>
      </w:pPr>
    </w:p>
    <w:p>
      <w:pPr>
        <w:pStyle w:val="0"/>
        <w:jc w:val="center"/>
        <w:rPr>
          <w:rFonts w:hint="default" w:ascii="ＭＳ 明朝" w:hAnsi="ＭＳ 明朝"/>
          <w:b w:val="1"/>
          <w:color w:val="000000"/>
          <w:sz w:val="28"/>
        </w:rPr>
      </w:pPr>
      <w:r>
        <w:rPr>
          <w:rFonts w:hint="eastAsia" w:ascii="ＭＳ 明朝" w:hAnsi="ＭＳ 明朝"/>
          <w:b w:val="1"/>
          <w:color w:val="000000"/>
          <w:sz w:val="28"/>
        </w:rPr>
        <w:t>誓　約　書</w:t>
      </w:r>
    </w:p>
    <w:p>
      <w:pPr>
        <w:pStyle w:val="0"/>
        <w:rPr>
          <w:rFonts w:hint="default" w:ascii="ＭＳ 明朝" w:hAnsi="ＭＳ 明朝"/>
          <w:b w:val="1"/>
          <w:color w:val="000000"/>
          <w:sz w:val="22"/>
        </w:rPr>
      </w:pPr>
    </w:p>
    <w:p>
      <w:pPr>
        <w:pStyle w:val="0"/>
        <w:wordWrap w:val="0"/>
        <w:jc w:val="right"/>
        <w:rPr>
          <w:rFonts w:hint="default" w:ascii="ＭＳ 明朝" w:hAnsi="ＭＳ 明朝"/>
          <w:color w:val="000000"/>
          <w:sz w:val="22"/>
        </w:rPr>
      </w:pPr>
      <w:bookmarkStart w:id="0" w:name="_GoBack"/>
      <w:bookmarkEnd w:id="0"/>
      <w:r>
        <w:rPr>
          <w:rFonts w:hint="eastAsia" w:ascii="ＭＳ 明朝" w:hAnsi="ＭＳ 明朝"/>
          <w:color w:val="000000"/>
          <w:sz w:val="22"/>
        </w:rPr>
        <w:t>令和　　年　　月　　日</w:t>
      </w:r>
    </w:p>
    <w:p>
      <w:pPr>
        <w:pStyle w:val="0"/>
        <w:rPr>
          <w:rFonts w:hint="default" w:ascii="ＭＳ 明朝" w:hAnsi="ＭＳ 明朝"/>
          <w:color w:val="000000"/>
          <w:sz w:val="22"/>
        </w:rPr>
      </w:pPr>
    </w:p>
    <w:p>
      <w:pPr>
        <w:pStyle w:val="0"/>
        <w:ind w:right="960"/>
        <w:rPr>
          <w:rFonts w:hint="default" w:ascii="ＭＳ 明朝" w:hAnsi="ＭＳ 明朝"/>
          <w:sz w:val="22"/>
        </w:rPr>
      </w:pPr>
      <w:r>
        <w:rPr>
          <w:rFonts w:hint="eastAsia" w:ascii="ＭＳ 明朝" w:hAnsi="ＭＳ 明朝"/>
          <w:sz w:val="22"/>
        </w:rPr>
        <w:t>日南市長　　髙</w:t>
      </w:r>
      <w:r>
        <w:rPr>
          <w:rFonts w:hint="eastAsia" w:ascii="ＭＳ 明朝" w:hAnsi="ＭＳ 明朝"/>
          <w:sz w:val="22"/>
        </w:rPr>
        <w:t xml:space="preserve"> </w:t>
      </w:r>
      <w:r>
        <w:rPr>
          <w:rFonts w:hint="eastAsia" w:ascii="ＭＳ 明朝" w:hAnsi="ＭＳ 明朝"/>
          <w:sz w:val="22"/>
        </w:rPr>
        <w:t>橋</w:t>
      </w:r>
      <w:r>
        <w:rPr>
          <w:rFonts w:hint="eastAsia" w:ascii="ＭＳ 明朝" w:hAnsi="ＭＳ 明朝"/>
          <w:sz w:val="22"/>
        </w:rPr>
        <w:t xml:space="preserve"> </w:t>
      </w:r>
      <w:r>
        <w:rPr>
          <w:rFonts w:hint="eastAsia" w:ascii="ＭＳ 明朝" w:hAnsi="ＭＳ 明朝"/>
          <w:sz w:val="22"/>
        </w:rPr>
        <w:t>　透　　殿</w:t>
      </w:r>
    </w:p>
    <w:p>
      <w:pPr>
        <w:pStyle w:val="0"/>
        <w:ind w:right="960"/>
        <w:rPr>
          <w:rFonts w:hint="default" w:ascii="ＭＳ 明朝" w:hAnsi="ＭＳ 明朝"/>
          <w:sz w:val="22"/>
        </w:rPr>
      </w:pPr>
    </w:p>
    <w:p>
      <w:pPr>
        <w:pStyle w:val="0"/>
        <w:ind w:right="960"/>
        <w:rPr>
          <w:rFonts w:hint="default" w:ascii="ＭＳ 明朝" w:hAnsi="ＭＳ 明朝"/>
          <w:sz w:val="22"/>
        </w:rPr>
      </w:pPr>
    </w:p>
    <w:p>
      <w:pPr>
        <w:pStyle w:val="0"/>
        <w:ind w:left="4159" w:leftChars="2088"/>
        <w:rPr>
          <w:rFonts w:hint="default" w:ascii="ＭＳ 明朝" w:hAnsi="ＭＳ 明朝"/>
          <w:sz w:val="22"/>
        </w:rPr>
      </w:pPr>
      <w:r>
        <w:rPr>
          <w:rFonts w:hint="eastAsia" w:ascii="ＭＳ 明朝" w:hAnsi="ＭＳ 明朝"/>
          <w:sz w:val="22"/>
        </w:rPr>
        <w:t>(</w:t>
      </w:r>
      <w:r>
        <w:rPr>
          <w:rFonts w:hint="eastAsia" w:ascii="ＭＳ 明朝" w:hAnsi="ＭＳ 明朝"/>
          <w:sz w:val="22"/>
        </w:rPr>
        <w:t>申請者</w:t>
      </w:r>
      <w:r>
        <w:rPr>
          <w:rFonts w:hint="eastAsia" w:ascii="ＭＳ 明朝" w:hAnsi="ＭＳ 明朝"/>
          <w:sz w:val="22"/>
        </w:rPr>
        <w:t>)</w:t>
      </w:r>
    </w:p>
    <w:p>
      <w:pPr>
        <w:pStyle w:val="0"/>
        <w:autoSpaceDE w:val="0"/>
        <w:autoSpaceDN w:val="0"/>
        <w:adjustRightInd w:val="0"/>
        <w:ind w:left="4159" w:leftChars="2088" w:right="83"/>
        <w:rPr>
          <w:rFonts w:hint="default" w:ascii="ＭＳ 明朝" w:hAnsi="ＭＳ 明朝"/>
          <w:sz w:val="22"/>
        </w:rPr>
      </w:pPr>
      <w:r>
        <w:rPr>
          <w:rFonts w:hint="eastAsia" w:ascii="ＭＳ 明朝" w:hAnsi="ＭＳ 明朝"/>
          <w:sz w:val="22"/>
        </w:rPr>
        <w:t>法人等名</w:t>
      </w:r>
    </w:p>
    <w:p>
      <w:pPr>
        <w:pStyle w:val="0"/>
        <w:ind w:left="4159" w:leftChars="2088" w:right="83"/>
        <w:rPr>
          <w:rFonts w:hint="default" w:ascii="ＭＳ 明朝" w:hAnsi="ＭＳ 明朝"/>
          <w:sz w:val="22"/>
        </w:rPr>
      </w:pPr>
    </w:p>
    <w:p>
      <w:pPr>
        <w:pStyle w:val="0"/>
        <w:ind w:left="4159" w:leftChars="2088" w:right="83"/>
        <w:rPr>
          <w:rFonts w:hint="default" w:ascii="ＭＳ 明朝" w:hAnsi="ＭＳ 明朝"/>
          <w:sz w:val="22"/>
        </w:rPr>
      </w:pPr>
      <w:r>
        <w:rPr>
          <w:rFonts w:hint="eastAsia" w:ascii="ＭＳ 明朝" w:hAnsi="ＭＳ 明朝"/>
          <w:sz w:val="22"/>
        </w:rPr>
        <w:t>所</w:t>
      </w:r>
      <w:r>
        <w:rPr>
          <w:rFonts w:hint="eastAsia" w:ascii="ＭＳ 明朝" w:hAnsi="ＭＳ 明朝"/>
          <w:sz w:val="22"/>
        </w:rPr>
        <w:t xml:space="preserve"> </w:t>
      </w:r>
      <w:r>
        <w:rPr>
          <w:rFonts w:hint="eastAsia" w:ascii="ＭＳ 明朝" w:hAnsi="ＭＳ 明朝"/>
          <w:sz w:val="22"/>
        </w:rPr>
        <w:t>在</w:t>
      </w:r>
      <w:r>
        <w:rPr>
          <w:rFonts w:hint="eastAsia" w:ascii="ＭＳ 明朝" w:hAnsi="ＭＳ 明朝"/>
          <w:sz w:val="22"/>
        </w:rPr>
        <w:t xml:space="preserve"> </w:t>
      </w:r>
      <w:r>
        <w:rPr>
          <w:rFonts w:hint="eastAsia" w:ascii="ＭＳ 明朝" w:hAnsi="ＭＳ 明朝"/>
          <w:sz w:val="22"/>
        </w:rPr>
        <w:t>地</w:t>
      </w:r>
    </w:p>
    <w:p>
      <w:pPr>
        <w:pStyle w:val="0"/>
        <w:ind w:left="4159" w:leftChars="2088" w:right="83"/>
        <w:rPr>
          <w:rFonts w:hint="default" w:ascii="ＭＳ 明朝" w:hAnsi="ＭＳ 明朝"/>
          <w:sz w:val="22"/>
        </w:rPr>
      </w:pPr>
    </w:p>
    <w:p>
      <w:pPr>
        <w:pStyle w:val="0"/>
        <w:ind w:left="4159" w:leftChars="2088" w:right="83"/>
        <w:rPr>
          <w:rFonts w:hint="default" w:ascii="ＭＳ 明朝" w:hAnsi="ＭＳ 明朝"/>
          <w:kern w:val="0"/>
          <w:sz w:val="22"/>
        </w:rPr>
      </w:pPr>
      <w:r>
        <w:rPr>
          <w:rFonts w:hint="eastAsia" w:ascii="ＭＳ 明朝" w:hAnsi="ＭＳ 明朝"/>
          <w:kern w:val="0"/>
          <w:sz w:val="22"/>
        </w:rPr>
        <w:t>代表者職氏名　　　　　　　　　　　　　　　　</w:t>
      </w:r>
      <w:r>
        <w:rPr>
          <w:rFonts w:hint="eastAsia" w:ascii="ＭＳ 明朝" w:hAnsi="ＭＳ 明朝"/>
          <w:sz w:val="22"/>
        </w:rPr>
        <w:t>印</w:t>
      </w:r>
    </w:p>
    <w:p>
      <w:pPr>
        <w:pStyle w:val="0"/>
        <w:ind w:right="269"/>
        <w:rPr>
          <w:rFonts w:hint="default" w:ascii="ＭＳ 明朝" w:hAnsi="ＭＳ 明朝"/>
          <w:sz w:val="22"/>
        </w:rPr>
      </w:pPr>
    </w:p>
    <w:p>
      <w:pPr>
        <w:pStyle w:val="0"/>
        <w:spacing w:line="360" w:lineRule="auto"/>
        <w:ind w:right="269"/>
        <w:rPr>
          <w:rFonts w:hint="default" w:ascii="ＭＳ 明朝" w:hAnsi="ＭＳ 明朝"/>
          <w:sz w:val="22"/>
        </w:rPr>
      </w:pPr>
    </w:p>
    <w:p>
      <w:pPr>
        <w:pStyle w:val="0"/>
        <w:autoSpaceDE w:val="0"/>
        <w:autoSpaceDN w:val="0"/>
        <w:adjustRightInd w:val="0"/>
        <w:spacing w:line="360" w:lineRule="exact"/>
        <w:ind w:firstLine="203" w:firstLineChars="100"/>
        <w:rPr>
          <w:rFonts w:hint="default" w:ascii="ＭＳ 明朝" w:hAnsi="ＭＳ 明朝"/>
          <w:sz w:val="22"/>
        </w:rPr>
      </w:pPr>
      <w:r>
        <w:rPr>
          <w:rFonts w:hint="eastAsia"/>
          <w:spacing w:val="2"/>
        </w:rPr>
        <w:t>日南市立飫肥城由緒施設及び日南市小村寿太郎記念館</w:t>
      </w:r>
      <w:r>
        <w:rPr>
          <w:rFonts w:hint="eastAsia" w:ascii="ＭＳ 明朝" w:hAnsi="ＭＳ 明朝"/>
          <w:sz w:val="22"/>
        </w:rPr>
        <w:t>の指定管理者の公募に係る指定申請書及び添付書類の全ての記載事項について事実と相違ないこと、及び下記に示す指定管理者の申請者として必要な全ての資格要件を有していることを誓約します。</w:t>
      </w:r>
    </w:p>
    <w:p>
      <w:pPr>
        <w:pStyle w:val="0"/>
        <w:spacing w:line="360" w:lineRule="exact"/>
        <w:rPr>
          <w:rFonts w:hint="default" w:ascii="ＭＳ 明朝" w:hAnsi="ＭＳ 明朝"/>
          <w:sz w:val="22"/>
        </w:rPr>
      </w:pPr>
    </w:p>
    <w:p>
      <w:pPr>
        <w:pStyle w:val="0"/>
        <w:ind w:left="426" w:leftChars="100" w:hanging="227" w:hangingChars="114"/>
        <w:rPr>
          <w:rFonts w:hint="default"/>
        </w:rPr>
      </w:pPr>
      <w:r>
        <w:rPr>
          <w:rFonts w:hint="eastAsia"/>
        </w:rPr>
        <w:t>①　九州管内に事業所または営業所を有する法人等。</w:t>
      </w:r>
      <w:r>
        <w:rPr>
          <w:rFonts w:hint="eastAsia"/>
        </w:rPr>
        <w:t>(</w:t>
      </w:r>
      <w:r>
        <w:rPr>
          <w:rFonts w:hint="eastAsia"/>
        </w:rPr>
        <w:t>グループの場合は、グループの代表法人等が日南市内に事業所又は営業所を有する。</w:t>
      </w:r>
      <w:r>
        <w:rPr>
          <w:rFonts w:hint="eastAsia"/>
        </w:rPr>
        <w:t>)</w:t>
      </w:r>
    </w:p>
    <w:p>
      <w:pPr>
        <w:pStyle w:val="0"/>
        <w:ind w:left="426" w:leftChars="100" w:hanging="227" w:hangingChars="114"/>
        <w:rPr>
          <w:rFonts w:hint="default"/>
        </w:rPr>
      </w:pPr>
      <w:r>
        <w:rPr>
          <w:rFonts w:hint="eastAsia"/>
        </w:rPr>
        <w:t>②　法人にあっては地方自治法施行令（昭和</w:t>
      </w:r>
      <w:r>
        <w:rPr>
          <w:rFonts w:hint="eastAsia"/>
        </w:rPr>
        <w:t>22</w:t>
      </w:r>
      <w:r>
        <w:rPr>
          <w:rFonts w:hint="eastAsia"/>
        </w:rPr>
        <w:t>年政令第</w:t>
      </w:r>
      <w:r>
        <w:rPr>
          <w:rFonts w:hint="eastAsia"/>
        </w:rPr>
        <w:t>16</w:t>
      </w:r>
      <w:r>
        <w:rPr>
          <w:rFonts w:hint="eastAsia"/>
        </w:rPr>
        <w:t>号）第</w:t>
      </w:r>
      <w:r>
        <w:rPr>
          <w:rFonts w:hint="eastAsia"/>
        </w:rPr>
        <w:t>167</w:t>
      </w:r>
      <w:r>
        <w:rPr>
          <w:rFonts w:hint="eastAsia"/>
        </w:rPr>
        <w:t>条の</w:t>
      </w:r>
      <w:r>
        <w:rPr>
          <w:rFonts w:hint="eastAsia"/>
        </w:rPr>
        <w:t>4</w:t>
      </w:r>
      <w:r>
        <w:rPr>
          <w:rFonts w:hint="eastAsia"/>
        </w:rPr>
        <w:t>の規定に該当し　　　　　　　　　　　　　　　　　　　　　　　　　　　　　　　　　　　　　　　　　　　　　　　　　　　　　　　　　　　　　　　　　　　ない者であること。</w:t>
      </w:r>
    </w:p>
    <w:p>
      <w:pPr>
        <w:pStyle w:val="0"/>
        <w:ind w:left="426" w:leftChars="100" w:hanging="227" w:hangingChars="114"/>
        <w:rPr>
          <w:rFonts w:hint="default"/>
        </w:rPr>
      </w:pPr>
      <w:r>
        <w:rPr>
          <w:rFonts w:hint="eastAsia"/>
        </w:rPr>
        <w:t>③　申請書提出時において、</w:t>
      </w:r>
      <w:r>
        <w:rPr>
          <w:rFonts w:hint="default"/>
        </w:rPr>
        <w:t>日南市競争入札参加者の資格及び指名基準等に関する要綱</w:t>
      </w:r>
      <w:r>
        <w:rPr>
          <w:rFonts w:hint="eastAsia"/>
        </w:rPr>
        <w:t>（平成</w:t>
      </w:r>
      <w:r>
        <w:rPr>
          <w:rFonts w:hint="eastAsia"/>
        </w:rPr>
        <w:t>21</w:t>
      </w:r>
      <w:r>
        <w:rPr>
          <w:rFonts w:hint="eastAsia"/>
        </w:rPr>
        <w:t>年３月</w:t>
      </w:r>
      <w:r>
        <w:rPr>
          <w:rFonts w:hint="eastAsia"/>
        </w:rPr>
        <w:t>30</w:t>
      </w:r>
      <w:r>
        <w:rPr>
          <w:rFonts w:hint="eastAsia"/>
        </w:rPr>
        <w:t>日告示第</w:t>
      </w:r>
      <w:r>
        <w:rPr>
          <w:rFonts w:hint="eastAsia"/>
        </w:rPr>
        <w:t>28</w:t>
      </w:r>
      <w:r>
        <w:rPr>
          <w:rFonts w:hint="eastAsia"/>
        </w:rPr>
        <w:t>号）に基づく指名停止の措置を受けていないこと。</w:t>
      </w:r>
    </w:p>
    <w:p>
      <w:pPr>
        <w:pStyle w:val="0"/>
        <w:ind w:left="426" w:leftChars="100" w:hanging="227" w:hangingChars="114"/>
        <w:rPr>
          <w:rFonts w:hint="default"/>
        </w:rPr>
      </w:pPr>
      <w:r>
        <w:rPr>
          <w:rFonts w:hint="eastAsia"/>
        </w:rPr>
        <w:t>④　会社更生法（平成</w:t>
      </w:r>
      <w:r>
        <w:rPr>
          <w:rFonts w:hint="eastAsia"/>
        </w:rPr>
        <w:t>14</w:t>
      </w:r>
      <w:r>
        <w:rPr>
          <w:rFonts w:hint="eastAsia"/>
        </w:rPr>
        <w:t>年法律第</w:t>
      </w:r>
      <w:r>
        <w:rPr>
          <w:rFonts w:hint="eastAsia"/>
        </w:rPr>
        <w:t>154</w:t>
      </w:r>
      <w:r>
        <w:rPr>
          <w:rFonts w:hint="eastAsia"/>
        </w:rPr>
        <w:t>号）の規定に基づく更生手続開始の申立て、又は民事再生法（平成</w:t>
      </w:r>
      <w:r>
        <w:rPr>
          <w:rFonts w:hint="eastAsia"/>
        </w:rPr>
        <w:t>11</w:t>
      </w:r>
      <w:r>
        <w:rPr>
          <w:rFonts w:hint="eastAsia"/>
        </w:rPr>
        <w:t>年法律第</w:t>
      </w:r>
      <w:r>
        <w:rPr>
          <w:rFonts w:hint="eastAsia"/>
        </w:rPr>
        <w:t>225</w:t>
      </w:r>
      <w:r>
        <w:rPr>
          <w:rFonts w:hint="eastAsia"/>
        </w:rPr>
        <w:t>号）の規定に基づく再生手続開始の申立ての事実がある者にあっては、当該申立てに基づく更生手続開始の決定又は再生手続開始の決定がなされていること。</w:t>
      </w:r>
    </w:p>
    <w:p>
      <w:pPr>
        <w:pStyle w:val="0"/>
        <w:ind w:left="426" w:leftChars="100" w:hanging="227" w:hangingChars="114"/>
        <w:rPr>
          <w:rFonts w:hint="default"/>
        </w:rPr>
      </w:pPr>
      <w:r>
        <w:rPr>
          <w:rFonts w:hint="eastAsia"/>
        </w:rPr>
        <w:t>⑤　国税及び日南市税について滞納がないこと。</w:t>
      </w:r>
    </w:p>
    <w:p>
      <w:pPr>
        <w:pStyle w:val="0"/>
        <w:ind w:left="426" w:leftChars="100" w:hanging="227" w:hangingChars="114"/>
        <w:rPr>
          <w:rFonts w:hint="default"/>
        </w:rPr>
      </w:pPr>
      <w:r>
        <w:rPr>
          <w:rFonts w:hint="eastAsia"/>
        </w:rPr>
        <w:t>⑥　法人等の役員に破産者、法律行為を行う能力を有しない者、又は現に禁錮以上の刑に処せられている者がいないこと。</w:t>
      </w:r>
    </w:p>
    <w:p>
      <w:pPr>
        <w:pStyle w:val="0"/>
        <w:ind w:left="426" w:leftChars="100" w:hanging="227" w:hangingChars="114"/>
        <w:rPr>
          <w:rFonts w:hint="default"/>
        </w:rPr>
      </w:pPr>
      <w:r>
        <w:rPr>
          <w:rFonts w:hint="eastAsia"/>
        </w:rPr>
        <w:t>⑦　法人等の役員又は経営に事実上参加している者に、暴力団員による不当な行為の防止等に関する法律（平成</w:t>
      </w:r>
      <w:r>
        <w:rPr>
          <w:rFonts w:hint="eastAsia"/>
        </w:rPr>
        <w:t>3</w:t>
      </w:r>
      <w:r>
        <w:rPr>
          <w:rFonts w:hint="eastAsia"/>
        </w:rPr>
        <w:t>年法律第</w:t>
      </w:r>
      <w:r>
        <w:rPr>
          <w:rFonts w:hint="eastAsia"/>
        </w:rPr>
        <w:t>77</w:t>
      </w:r>
      <w:r>
        <w:rPr>
          <w:rFonts w:hint="eastAsia"/>
        </w:rPr>
        <w:t>号）第</w:t>
      </w:r>
      <w:r>
        <w:rPr>
          <w:rFonts w:hint="eastAsia"/>
        </w:rPr>
        <w:t>2</w:t>
      </w:r>
      <w:r>
        <w:rPr>
          <w:rFonts w:hint="eastAsia"/>
        </w:rPr>
        <w:t>条第</w:t>
      </w:r>
      <w:r>
        <w:rPr>
          <w:rFonts w:hint="eastAsia"/>
        </w:rPr>
        <w:t>2</w:t>
      </w:r>
      <w:r>
        <w:rPr>
          <w:rFonts w:hint="eastAsia"/>
        </w:rPr>
        <w:t>項に規定する暴力団の関係者又は暴力団の関係者と密接な関係を有する者がいないこと。</w:t>
      </w:r>
    </w:p>
    <w:sectPr>
      <w:pgSz w:w="11907" w:h="16840"/>
      <w:pgMar w:top="851" w:right="851" w:bottom="851" w:left="1134" w:header="851" w:footer="992" w:gutter="0"/>
      <w:cols w:space="720"/>
      <w:textDirection w:val="lrTb"/>
      <w:docGrid w:type="linesAndChars" w:linePitch="377" w:charSpace="-221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ＭＳ ゴシック">
    <w:panose1 w:val="00000000000000000000"/>
    <w:charset w:val="80"/>
    <w:family w:val="moder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明朝">
    <w:panose1 w:val="000008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doNotHyphenateCaps/>
  <w:evenAndOddHeaders/>
  <w:drawingGridHorizontalSpacing w:val="102"/>
  <w:drawingGridVerticalSpacing w:val="143"/>
  <w:displayHorizontalDrawingGridEvery w:val="0"/>
  <w:displayVerticalDrawingGridEvery w:val="2"/>
  <w:doNotShadeFormData/>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customStyle="1">
    <w:name w:val="一太郎"/>
    <w:next w:val="15"/>
    <w:link w:val="0"/>
    <w:uiPriority w:val="0"/>
    <w:pPr>
      <w:widowControl w:val="0"/>
      <w:wordWrap w:val="0"/>
      <w:autoSpaceDE w:val="0"/>
      <w:autoSpaceDN w:val="0"/>
      <w:adjustRightInd w:val="0"/>
      <w:spacing w:line="356" w:lineRule="exact"/>
      <w:jc w:val="both"/>
    </w:pPr>
    <w:rPr>
      <w:rFonts w:ascii="ＭＳ ゴシック" w:hAnsi="ＭＳ ゴシック" w:eastAsia="ＭＳ ゴシック"/>
      <w:sz w:val="24"/>
    </w:rPr>
  </w:style>
  <w:style w:type="paragraph" w:styleId="16">
    <w:name w:val="footer"/>
    <w:basedOn w:val="0"/>
    <w:next w:val="16"/>
    <w:link w:val="0"/>
    <w:uiPriority w:val="0"/>
    <w:pPr>
      <w:tabs>
        <w:tab w:val="center" w:leader="none" w:pos="4252"/>
        <w:tab w:val="right" w:leader="none" w:pos="8504"/>
      </w:tabs>
      <w:snapToGrid w:val="0"/>
    </w:pPr>
  </w:style>
  <w:style w:type="character" w:styleId="17">
    <w:name w:val="page number"/>
    <w:basedOn w:val="10"/>
    <w:next w:val="17"/>
    <w:link w:val="0"/>
    <w:uiPriority w:val="0"/>
  </w:style>
  <w:style w:type="paragraph" w:styleId="18">
    <w:name w:val="Balloon Text"/>
    <w:basedOn w:val="0"/>
    <w:next w:val="18"/>
    <w:link w:val="0"/>
    <w:uiPriority w:val="0"/>
    <w:semiHidden/>
    <w:rPr>
      <w:rFonts w:ascii="Arial" w:hAnsi="Arial" w:eastAsia="ＭＳ ゴシック"/>
      <w:sz w:val="18"/>
    </w:rPr>
  </w:style>
  <w:style w:type="paragraph" w:styleId="19">
    <w:name w:val="header"/>
    <w:basedOn w:val="0"/>
    <w:next w:val="19"/>
    <w:link w:val="0"/>
    <w:uiPriority w:val="0"/>
    <w:pPr>
      <w:tabs>
        <w:tab w:val="center" w:leader="none" w:pos="4252"/>
        <w:tab w:val="right" w:leader="none" w:pos="8504"/>
      </w:tabs>
      <w:snapToGrid w:val="0"/>
    </w:pPr>
    <w:rPr>
      <w:sz w:val="24"/>
    </w:rPr>
  </w:style>
  <w:style w:type="paragraph" w:styleId="20" w:customStyle="1">
    <w:name w:val="Default"/>
    <w:next w:val="20"/>
    <w:link w:val="0"/>
    <w:uiPriority w:val="0"/>
    <w:pPr>
      <w:widowControl w:val="0"/>
      <w:autoSpaceDE w:val="0"/>
      <w:autoSpaceDN w:val="0"/>
      <w:adjustRightInd w:val="0"/>
    </w:pPr>
    <w:rPr>
      <w:rFonts w:ascii="ＭＳ ゴシック" w:hAnsi="ＭＳ ゴシック" w:eastAsia="ＭＳ ゴシック"/>
      <w:color w:val="000000"/>
      <w:sz w:val="24"/>
    </w:rPr>
  </w:style>
  <w:style w:type="paragraph" w:styleId="21">
    <w:name w:val="List Paragraph"/>
    <w:basedOn w:val="0"/>
    <w:next w:val="21"/>
    <w:link w:val="0"/>
    <w:uiPriority w:val="0"/>
    <w:qFormat/>
    <w:pPr>
      <w:ind w:left="840" w:leftChars="400"/>
    </w:pPr>
  </w:style>
  <w:style w:type="table" w:styleId="22">
    <w:name w:val="Table Grid"/>
    <w:basedOn w:val="11"/>
    <w:next w:val="22"/>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7</TotalTime>
  <Pages>1</Pages>
  <Words>639</Words>
  <Characters>147</Characters>
  <Application>JUST Note</Application>
  <Lines>1</Lines>
  <Paragraphs>1</Paragraphs>
  <CharactersWithSpaces>785</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宮崎県福祉総合センター及び県立母子福祉センター</dc:title>
  <dc:creator>HON5055</dc:creator>
  <cp:lastModifiedBy>Administrator</cp:lastModifiedBy>
  <cp:lastPrinted>2018-07-31T02:07:00Z</cp:lastPrinted>
  <dcterms:created xsi:type="dcterms:W3CDTF">2017-07-28T01:31:00Z</dcterms:created>
  <dcterms:modified xsi:type="dcterms:W3CDTF">2026-07-08T11:31:51Z</dcterms:modified>
  <cp:revision>10</cp:revision>
</cp:coreProperties>
</file>